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" w:hAnsi="仿宋" w:eastAsia="仿宋" w:cs="仿宋"/>
          <w:sz w:val="44"/>
          <w:szCs w:val="44"/>
        </w:rPr>
      </w:pPr>
      <w:bookmarkStart w:id="0" w:name="招商公告"/>
      <w:r>
        <w:rPr>
          <w:rFonts w:hint="eastAsia" w:ascii="仿宋" w:hAnsi="仿宋" w:eastAsia="仿宋" w:cs="仿宋"/>
          <w:b/>
          <w:bCs/>
          <w:sz w:val="32"/>
          <w:szCs w:val="32"/>
        </w:rPr>
        <w:t>海口美兰国际机场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T1航站楼咖啡茶饮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项目招商公告</w:t>
      </w:r>
      <w:bookmarkEnd w:id="0"/>
    </w:p>
    <w:p>
      <w:pPr>
        <w:rPr>
          <w:rFonts w:ascii="仿宋" w:hAnsi="仿宋" w:eastAsia="仿宋" w:cs="仿宋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海口美兰国际机场现对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T1航站楼咖啡茶饮</w:t>
      </w:r>
      <w:r>
        <w:rPr>
          <w:rFonts w:hint="eastAsia" w:ascii="仿宋" w:hAnsi="仿宋" w:eastAsia="仿宋" w:cs="仿宋"/>
          <w:kern w:val="0"/>
          <w:sz w:val="28"/>
          <w:szCs w:val="28"/>
        </w:rPr>
        <w:t>项目进行公开招商，欢迎符合资质的公司报名参加此次公开招商活动。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1 招商人：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海南美兰国际空港股份有限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公司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 项目名称：海口美兰国际机场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T1航站楼咖啡茶饮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项目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 项目概述：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项目位于海口美兰国际机场T1航站楼出发厅安检外，4号门旁，即CoCo店铺点位，面积共176㎡。综合考虑旅客消费需要，将点位规划为经营咖啡茶饮店铺。</w:t>
      </w: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提醒：中标人将与招商人签订不固定期限合同，后续招商人将根据实际情况提前通知店铺到期时间，中标人需在通知时限内撤场。请各商家阅知，如报名投标则默认同意。</w:t>
      </w:r>
    </w:p>
    <w:tbl>
      <w:tblPr>
        <w:tblStyle w:val="6"/>
        <w:tblW w:w="11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80"/>
        <w:gridCol w:w="1173"/>
        <w:gridCol w:w="3820"/>
        <w:gridCol w:w="1667"/>
        <w:gridCol w:w="146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Header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点位编号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位置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（㎡）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bCs/>
                <w:kern w:val="2"/>
                <w:sz w:val="24"/>
                <w:szCs w:val="24"/>
                <w:lang w:val="en-US" w:eastAsia="zh-CN" w:bidi="ar"/>
              </w:rPr>
              <w:t>标段一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2.16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T1航站楼出发厅安检外，4号门旁，现CoCo点位店铺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餐饮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咖啡茶饮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1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备注：店铺内销售商品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价格需与投标人在市区经营的同品牌店铺保持同城同质同价，商家需提供同类商品价格的对比结果。否则，招商人有权要求投标人调整售价，投标人不得拒绝。</w:t>
            </w:r>
          </w:p>
        </w:tc>
      </w:tr>
    </w:tbl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4 资质要求：</w:t>
      </w:r>
    </w:p>
    <w:tbl>
      <w:tblPr>
        <w:tblStyle w:val="6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671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约束性条件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具备法人营业执照，注册资本不少于人民币100万元。非中国大陆注册登记的法人，注册资本折合人民币不少于100万元。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提供营业执照或其他相关证明；提供法定代表人的身份证正反面复印件；提供对公银行账户信息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必须是中华人民共和国境内正式注册的具有有效的独立法人资格的，具有独立承担民事责任的能力的，有能力租赁招标文件所述商铺的承租人。法定代表人为同一个人的两个及两个以上法人，母公司、全资子公司及其控股公司，以及其他形式有资产关联的投标人，都不得在同一招标项目的同一标段中同时投标；不接受联合体竞商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截至招商公告发布前，投标人需具备至少在一个（含）以上省会城市运营同品牌店铺数量1家（含）以上运营经验。国内同品牌店铺运营的数量不少于20家（含其他运营者运营的店铺）。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提供店铺营业执照、租赁合同扫描件、实体铺面照片（需看到门头店名及店内的照片）和品牌授权证明（如有）等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需通过“信用中国”网站（www.creditchina.gov.cn）的“信用服务”模块查询单位相关信用记录，并保存网站查询结果截图，对列入“失信被执行人、重大税收违法失信主体、政府采购严重违法失信行为记录名单”的投标人，不得参与本次招商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提供网站查询结果截图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如中标，投标人同意执行与国内市区同品牌店铺相同定价标准，招商人有权指定对标店铺，投标人不得拒绝。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投标人自行承担设备采购、电路引接及用电费用、清洁排污费用（如有）、消防审批（如有）、网络（如有）等费用。</w:t>
            </w: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截止本项目招商公告发布前，投标人与招商人未存在以下情况：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1.双方未处于法律仲裁、诉讼状态或有仲裁、诉讼历史的；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2.投标人前期未因投诉、欠款等原因与招商人提前解约或被招商人清退或要求停业整顿的；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3.投标人未存在欠款或与招商人存在合同履约争议的。</w:t>
            </w: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5 招商文件发售时间：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如贵公司符合上述资质并有意参与，请于202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7月26</w:t>
      </w:r>
      <w:r>
        <w:rPr>
          <w:rFonts w:hint="eastAsia" w:ascii="仿宋" w:hAnsi="仿宋" w:eastAsia="仿宋" w:cs="仿宋"/>
          <w:kern w:val="0"/>
          <w:sz w:val="28"/>
          <w:szCs w:val="28"/>
        </w:rPr>
        <w:t>日16:30前携带</w:t>
      </w:r>
      <w:r>
        <w:rPr>
          <w:rFonts w:hint="eastAsia" w:ascii="仿宋" w:hAnsi="仿宋" w:eastAsia="仿宋" w:cs="仿宋"/>
          <w:sz w:val="28"/>
          <w:szCs w:val="28"/>
        </w:rPr>
        <w:t>营业执照复印件（并加盖公章）、有关证明材料及填写投标人资质预审表（加盖公章）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28"/>
          <w:szCs w:val="28"/>
        </w:rPr>
        <w:t>购买招商文件。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6 招商文件发售价格：人民币300元，一经售出概不退回。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7 招商人银行账号：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收款人：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海南美兰国际空港股份有限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公司</w:t>
      </w:r>
    </w:p>
    <w:p>
      <w:pPr>
        <w:spacing w:line="600" w:lineRule="exact"/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账号：26750257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7823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开户行：中国银行海南省分行营业部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8 招商文件发售地址：</w:t>
      </w:r>
      <w:r>
        <w:rPr>
          <w:rFonts w:hint="eastAsia" w:ascii="仿宋" w:hAnsi="仿宋" w:eastAsia="仿宋" w:cs="仿宋"/>
          <w:sz w:val="28"/>
          <w:szCs w:val="28"/>
        </w:rPr>
        <w:t>海口美兰国际机场办公楼一楼市场部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招商声明：本次招商活动借鉴公开招标的模式，使用招标法中规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28"/>
          <w:szCs w:val="28"/>
        </w:rPr>
        <w:t>定的术语，但并非法律意义上的招投标行为，招商文件的最终解释权归招商人所有。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招商方：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海南美兰国际空港股份有限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公司</w:t>
      </w:r>
    </w:p>
    <w:p>
      <w:pPr>
        <w:pStyle w:val="3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联系人：刘女士、周女士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联系方式：69966228、69966230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地址：海口美兰国际机场办公楼一楼市场部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邮箱：pw-liu@hnair.com、zhou-m@hnair.com</w:t>
      </w:r>
    </w:p>
    <w:p>
      <w:pPr>
        <w:rPr>
          <w:rFonts w:ascii="仿宋" w:hAnsi="仿宋" w:eastAsia="仿宋" w:cs="仿宋"/>
        </w:rPr>
      </w:pPr>
    </w:p>
    <w:p>
      <w:pPr>
        <w:pStyle w:val="2"/>
        <w:spacing w:line="500" w:lineRule="exact"/>
        <w:ind w:firstLine="562" w:firstLineChars="200"/>
        <w:jc w:val="left"/>
        <w:rPr>
          <w:rFonts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投标人资质预审表</w:t>
      </w:r>
    </w:p>
    <w:tbl>
      <w:tblPr>
        <w:tblStyle w:val="6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947"/>
        <w:gridCol w:w="1012"/>
        <w:gridCol w:w="689"/>
        <w:gridCol w:w="422"/>
        <w:gridCol w:w="992"/>
        <w:gridCol w:w="1088"/>
        <w:gridCol w:w="1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投标人名称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常务联系人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成立时间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员工总人数：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企业资质等级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营业执照号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税务登记证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体系认证证书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信用等级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近三年营业收入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是否与美兰机场合作过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投标品牌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及标段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t>92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sz w:val="24"/>
                        <w:szCs w:val="24"/>
                      </w:rPr>
                      <w:t>92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jhmZmJhOGZmYWFmNDJmMzg3NzdiMDFmOGVkNjIifQ=="/>
  </w:docVars>
  <w:rsids>
    <w:rsidRoot w:val="00000000"/>
    <w:rsid w:val="00CA613C"/>
    <w:rsid w:val="23737B15"/>
    <w:rsid w:val="4D265A75"/>
    <w:rsid w:val="592D018B"/>
    <w:rsid w:val="740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jc w:val="center"/>
      <w:textAlignment w:val="baseline"/>
      <w:outlineLvl w:val="0"/>
    </w:pPr>
    <w:rPr>
      <w:rFonts w:ascii="黑体" w:hAnsi="黑体" w:eastAsia="黑体"/>
      <w:kern w:val="44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1572</Words>
  <Characters>1685</Characters>
  <Lines>0</Lines>
  <Paragraphs>0</Paragraphs>
  <TotalTime>49</TotalTime>
  <ScaleCrop>false</ScaleCrop>
  <LinksUpToDate>false</LinksUpToDate>
  <CharactersWithSpaces>1693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zhou-m.HNANET</dc:creator>
  <cp:lastModifiedBy>吧吧吧吧吧</cp:lastModifiedBy>
  <dcterms:modified xsi:type="dcterms:W3CDTF">2023-07-20T02:07:50Z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47B338F5DC3F4FCA8AA7C6FA2087E2BC_12</vt:lpwstr>
  </property>
</Properties>
</file>